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FF0000"/>
          <w:spacing w:val="-23"/>
          <w:w w:val="66"/>
          <w:sz w:val="84"/>
          <w:szCs w:val="84"/>
        </w:rPr>
      </w:pPr>
      <w:r>
        <w:rPr>
          <w:rFonts w:hint="eastAsia"/>
          <w:b/>
          <w:bCs/>
          <w:color w:val="FF0000"/>
          <w:spacing w:val="-23"/>
          <w:w w:val="66"/>
          <w:sz w:val="84"/>
          <w:szCs w:val="84"/>
        </w:rPr>
        <w:t>中共海南师范大学</w:t>
      </w:r>
      <w:r>
        <w:rPr>
          <w:rFonts w:hint="eastAsia"/>
          <w:b/>
          <w:bCs/>
          <w:color w:val="FF0000"/>
          <w:spacing w:val="-23"/>
          <w:w w:val="66"/>
          <w:sz w:val="84"/>
          <w:szCs w:val="84"/>
          <w:lang w:eastAsia="zh-CN"/>
        </w:rPr>
        <w:t>委员会</w:t>
      </w:r>
      <w:r>
        <w:rPr>
          <w:rFonts w:hint="eastAsia"/>
          <w:b/>
          <w:bCs/>
          <w:color w:val="FF0000"/>
          <w:spacing w:val="-23"/>
          <w:w w:val="66"/>
          <w:sz w:val="84"/>
          <w:szCs w:val="84"/>
        </w:rPr>
        <w:t>学生工作部</w:t>
      </w:r>
    </w:p>
    <w:p>
      <w:pPr>
        <w:jc w:val="center"/>
        <w:rPr>
          <w:rFonts w:hint="eastAsia" w:ascii="黑体" w:eastAsia="黑体"/>
          <w:color w:val="auto"/>
          <w:sz w:val="32"/>
          <w:szCs w:val="32"/>
          <w:u w:val="single"/>
        </w:rPr>
      </w:pPr>
      <w:r>
        <w:rPr>
          <w:rFonts w:hint="eastAsia" w:ascii="黑体" w:eastAsia="黑体"/>
          <w:color w:val="auto"/>
          <w:sz w:val="32"/>
          <w:szCs w:val="32"/>
          <w:u w:val="single"/>
        </w:rPr>
        <mc:AlternateContent>
          <mc:Choice Requires="wps">
            <w:drawing>
              <wp:anchor distT="0" distB="0" distL="0" distR="0" simplePos="0" relativeHeight="251659264" behindDoc="0" locked="0" layoutInCell="1" allowOverlap="1">
                <wp:simplePos x="0" y="0"/>
                <wp:positionH relativeFrom="column">
                  <wp:posOffset>171450</wp:posOffset>
                </wp:positionH>
                <wp:positionV relativeFrom="paragraph">
                  <wp:posOffset>161925</wp:posOffset>
                </wp:positionV>
                <wp:extent cx="5419725" cy="19050"/>
                <wp:effectExtent l="0" t="0" r="0" b="0"/>
                <wp:wrapNone/>
                <wp:docPr id="1026" name="直接箭头连接符 1"/>
                <wp:cNvGraphicFramePr/>
                <a:graphic xmlns:a="http://schemas.openxmlformats.org/drawingml/2006/main">
                  <a:graphicData uri="http://schemas.microsoft.com/office/word/2010/wordprocessingShape">
                    <wps:wsp>
                      <wps:cNvCnPr/>
                      <wps:spPr>
                        <a:xfrm flipV="1">
                          <a:off x="0" y="0"/>
                          <a:ext cx="5419725" cy="19050"/>
                        </a:xfrm>
                        <a:prstGeom prst="straightConnector1">
                          <a:avLst/>
                        </a:prstGeom>
                        <a:ln w="28575" cap="flat" cmpd="sng">
                          <a:solidFill>
                            <a:srgbClr val="FF0000"/>
                          </a:solidFill>
                          <a:prstDash val="solid"/>
                          <a:round/>
                          <a:headEnd type="none" w="med" len="med"/>
                          <a:tailEnd type="none" w="med" len="med"/>
                        </a:ln>
                      </wps:spPr>
                      <wps:bodyPr/>
                    </wps:wsp>
                  </a:graphicData>
                </a:graphic>
              </wp:anchor>
            </w:drawing>
          </mc:Choice>
          <mc:Fallback>
            <w:pict>
              <v:shape id="直接箭头连接符 1" o:spid="_x0000_s1026" o:spt="32" type="#_x0000_t32" style="position:absolute;left:0pt;flip:y;margin-left:13.5pt;margin-top:12.75pt;height:1.5pt;width:426.75pt;z-index:251659264;mso-width-relative:page;mso-height-relative:page;" filled="f" stroked="t" coordsize="21600,21600" o:gfxdata="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ceMk9UAAAAIAQAADwAAAAAAAAAB&#10;ACAAAAAiAAAAZHJzL2Rvd25yZXYueG1sUEsBAhQAFAAAAAgAh07iQJoQ1PwTAgAACAQAAA4AAAAA&#10;AAAAAQAgAAAAJAEAAGRycy9lMm9Eb2MueG1sUEsFBgAAAAAGAAYAWQEAAKkFAAAAAA==&#10;">
                <v:fill on="f" focussize="0,0"/>
                <v:stroke weight="2.25pt" color="#FF0000" joinstyle="round"/>
                <v:imagedata o:title=""/>
                <o:lock v:ext="edit" aspectratio="f"/>
              </v:shape>
            </w:pict>
          </mc:Fallback>
        </mc:AlternateContent>
      </w:r>
    </w:p>
    <w:p>
      <w:pPr>
        <w:jc w:val="right"/>
        <w:rPr>
          <w:rFonts w:hint="eastAsia" w:ascii="仿宋" w:hAnsi="仿宋" w:eastAsia="仿宋" w:cs="仿宋"/>
          <w:color w:val="auto"/>
          <w:sz w:val="32"/>
          <w:szCs w:val="32"/>
        </w:rPr>
      </w:pPr>
      <w:bookmarkStart w:id="0" w:name="_GoBack"/>
      <w:bookmarkEnd w:id="0"/>
      <w:r>
        <w:rPr>
          <w:rFonts w:hint="eastAsia" w:ascii="仿宋" w:hAnsi="仿宋" w:eastAsia="仿宋" w:cs="仿宋"/>
          <w:color w:val="auto"/>
          <w:sz w:val="32"/>
          <w:szCs w:val="32"/>
        </w:rPr>
        <w:t>海师学工函［20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号</w:t>
      </w:r>
    </w:p>
    <w:p>
      <w:pPr>
        <w:pStyle w:val="8"/>
        <w:spacing w:before="0" w:beforeAutospacing="0" w:after="0" w:afterAutospacing="0" w:line="600" w:lineRule="auto"/>
        <w:jc w:val="center"/>
        <w:rPr>
          <w:rFonts w:hint="eastAsia" w:ascii="宋体" w:hAnsi="宋体"/>
          <w:b/>
          <w:bCs/>
          <w:color w:val="auto"/>
          <w:spacing w:val="-20"/>
          <w:w w:val="80"/>
          <w:sz w:val="44"/>
          <w:szCs w:val="44"/>
        </w:rPr>
      </w:pPr>
    </w:p>
    <w:p>
      <w:pPr>
        <w:pStyle w:val="8"/>
        <w:spacing w:before="0" w:beforeAutospacing="0" w:after="0" w:afterAutospacing="0" w:line="600" w:lineRule="auto"/>
        <w:jc w:val="center"/>
        <w:rPr>
          <w:rFonts w:hint="eastAsia" w:ascii="宋体" w:hAnsi="宋体"/>
          <w:color w:val="auto"/>
          <w:spacing w:val="-20"/>
          <w:w w:val="80"/>
          <w:sz w:val="44"/>
          <w:szCs w:val="44"/>
        </w:rPr>
      </w:pPr>
      <w:r>
        <w:rPr>
          <w:rFonts w:hint="eastAsia" w:ascii="宋体" w:hAnsi="宋体"/>
          <w:b/>
          <w:bCs/>
          <w:color w:val="auto"/>
          <w:spacing w:val="-20"/>
          <w:w w:val="80"/>
          <w:sz w:val="44"/>
          <w:szCs w:val="44"/>
        </w:rPr>
        <w:t>海南师范大学“国旗下的讲话”爱国主义教育活动方案</w:t>
      </w:r>
    </w:p>
    <w:p>
      <w:pPr>
        <w:pStyle w:val="8"/>
        <w:spacing w:before="0" w:beforeAutospacing="0" w:after="0" w:afterAutospacing="0" w:line="360" w:lineRule="auto"/>
        <w:ind w:firstLine="378" w:firstLineChars="180"/>
      </w:pPr>
      <w:r>
        <w:t> </w:t>
      </w:r>
    </w:p>
    <w:p>
      <w:pPr>
        <w:pStyle w:val="8"/>
        <w:spacing w:before="0" w:beforeAutospacing="0" w:after="0" w:afterAutospacing="0" w:line="360" w:lineRule="auto"/>
        <w:ind w:firstLine="576" w:firstLineChars="1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践行和弘扬社会主义核心价值观，增强大学生思想政治教育工作实效，提高我校大学生的爱国主义情操和身体素质，优化校风学风，繁荣校园文化，涵育师生品行，经研究决定开展海南师范大学“国旗下的讲话”爱国主义教育活动。为推动此项活动的顺利开展，特制订本方案。</w:t>
      </w:r>
    </w:p>
    <w:p>
      <w:pPr>
        <w:pStyle w:val="8"/>
        <w:spacing w:before="0" w:beforeAutospacing="0" w:after="0" w:afterAutospacing="0" w:line="360" w:lineRule="auto"/>
        <w:ind w:firstLine="643" w:firstLineChars="200"/>
        <w:rPr>
          <w:rFonts w:hint="eastAsia" w:ascii="黑体" w:hAnsi="黑体" w:eastAsia="黑体" w:cs="黑体"/>
          <w:color w:val="auto"/>
          <w:sz w:val="32"/>
          <w:szCs w:val="32"/>
        </w:rPr>
      </w:pPr>
      <w:r>
        <w:rPr>
          <w:rFonts w:hint="eastAsia" w:ascii="黑体" w:hAnsi="黑体" w:eastAsia="黑体" w:cs="黑体"/>
          <w:b/>
          <w:bCs/>
          <w:color w:val="auto"/>
          <w:sz w:val="32"/>
          <w:szCs w:val="32"/>
        </w:rPr>
        <w:t>一、指导思想</w:t>
      </w:r>
    </w:p>
    <w:p>
      <w:pPr>
        <w:pStyle w:val="8"/>
        <w:spacing w:before="0" w:beforeAutospacing="0" w:after="0" w:afterAutospacing="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习近平新时代中国特色社会主义思想为指导，以全面贯彻落实党的十九大精神为主线，以大力提升高校思想政治工作质量、培养担当民族复兴大任的时代新人为目标，聚焦立德树人根本任务，不忘初心，牢记使命，努力构建全员全过程全方位育人新格局，教育引导师生在亲身参与中增强实践能力、树立家国情怀。</w:t>
      </w:r>
    </w:p>
    <w:p>
      <w:pPr>
        <w:pStyle w:val="8"/>
        <w:spacing w:before="0" w:beforeAutospacing="0" w:after="0" w:afterAutospacing="0" w:line="360" w:lineRule="auto"/>
        <w:ind w:firstLine="643"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rPr>
        <w:t>二、组织实施</w:t>
      </w:r>
    </w:p>
    <w:p>
      <w:pPr>
        <w:pStyle w:val="8"/>
        <w:spacing w:before="0" w:beforeAutospacing="0" w:after="0" w:afterAutospacing="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生工作部（处）统筹负责各项组织事宜，并提供国旗、国歌、校旗、校歌、旗手及相应场地。各学院负责组织好本学院参加升旗仪式的人数，按时参加、整齐有序，并负责组织好本学院升旗仪式后的体育、学习活动。</w:t>
      </w:r>
    </w:p>
    <w:p>
      <w:pPr>
        <w:pStyle w:val="8"/>
        <w:spacing w:before="0" w:beforeAutospacing="0" w:after="0" w:afterAutospacing="0" w:line="360" w:lineRule="auto"/>
        <w:ind w:firstLine="643"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rPr>
        <w:t>三、具体安排</w:t>
      </w:r>
    </w:p>
    <w:p>
      <w:pPr>
        <w:pStyle w:val="8"/>
        <w:spacing w:before="0" w:beforeAutospacing="0" w:after="0" w:afterAutospacing="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（一）时间安排：每周一早晨6:30，相关学院学生在操场集中完毕，参加升旗仪式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升旗仪式开始后不得随意走动。</w:t>
      </w:r>
    </w:p>
    <w:p>
      <w:pPr>
        <w:pStyle w:val="8"/>
        <w:spacing w:before="0" w:beforeAutospacing="0" w:after="0" w:afterAutospacing="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（二）活动地点：操场</w:t>
      </w:r>
      <w:r>
        <w:rPr>
          <w:rFonts w:hint="eastAsia" w:ascii="仿宋_GB2312" w:hAnsi="仿宋_GB2312" w:eastAsia="仿宋_GB2312" w:cs="仿宋_GB2312"/>
          <w:color w:val="auto"/>
          <w:sz w:val="32"/>
          <w:szCs w:val="32"/>
          <w:lang w:eastAsia="zh-CN"/>
        </w:rPr>
        <w:t>主席</w:t>
      </w:r>
      <w:r>
        <w:rPr>
          <w:rFonts w:hint="eastAsia" w:ascii="仿宋_GB2312" w:hAnsi="仿宋_GB2312" w:eastAsia="仿宋_GB2312" w:cs="仿宋_GB2312"/>
          <w:color w:val="auto"/>
          <w:sz w:val="32"/>
          <w:szCs w:val="32"/>
        </w:rPr>
        <w:t>台前。</w:t>
      </w:r>
    </w:p>
    <w:p>
      <w:pPr>
        <w:pStyle w:val="8"/>
        <w:spacing w:before="0" w:beforeAutospacing="0" w:after="0" w:afterAutospacing="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（三）活动人员：相关学院领导、辅导员及全体在校生，活动具体安排如下：</w:t>
      </w:r>
    </w:p>
    <w:tbl>
      <w:tblPr>
        <w:tblStyle w:val="9"/>
        <w:tblW w:w="84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5252"/>
        <w:gridCol w:w="1740"/>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75" w:type="dxa"/>
            <w:gridSpan w:val="4"/>
            <w:vAlign w:val="center"/>
          </w:tcPr>
          <w:p>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海南师范大学“国旗下的讲话”爱国主义教育活动安排表</w:t>
            </w:r>
          </w:p>
          <w:p>
            <w:pPr>
              <w:widowControl/>
              <w:jc w:val="center"/>
              <w:rPr>
                <w:rFonts w:hint="eastAsia" w:ascii="仿宋_GB2312" w:hAnsi="仿宋_GB2312" w:eastAsia="仿宋_GB2312" w:cs="仿宋_GB2312"/>
                <w:sz w:val="30"/>
                <w:szCs w:val="30"/>
              </w:rPr>
            </w:pPr>
            <w:r>
              <w:rPr>
                <w:rFonts w:hint="eastAsia" w:ascii="仿宋_GB2312" w:hAnsi="仿宋_GB2312" w:eastAsia="仿宋_GB2312" w:cs="仿宋_GB2312"/>
                <w:sz w:val="28"/>
                <w:szCs w:val="28"/>
              </w:rPr>
              <w:t>（桂林洋校区）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5252" w:type="dxa"/>
            <w:vAlign w:val="center"/>
          </w:tcPr>
          <w:p>
            <w:pPr>
              <w:widowControl/>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学院</w:t>
            </w:r>
          </w:p>
        </w:tc>
        <w:tc>
          <w:tcPr>
            <w:tcW w:w="1740" w:type="dxa"/>
            <w:vAlign w:val="center"/>
          </w:tcPr>
          <w:p>
            <w:pPr>
              <w:widowControl/>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周次</w:t>
            </w:r>
          </w:p>
        </w:tc>
        <w:tc>
          <w:tcPr>
            <w:tcW w:w="697" w:type="dxa"/>
            <w:vAlign w:val="center"/>
          </w:tcPr>
          <w:p>
            <w:pPr>
              <w:widowControl/>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5252"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马克思主义学院</w:t>
            </w:r>
          </w:p>
        </w:tc>
        <w:tc>
          <w:tcPr>
            <w:tcW w:w="1740"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第</w:t>
            </w:r>
            <w:r>
              <w:rPr>
                <w:rFonts w:hint="eastAsia" w:ascii="仿宋_GB2312" w:hAnsi="仿宋_GB2312" w:eastAsia="仿宋_GB2312" w:cs="仿宋_GB2312"/>
                <w:szCs w:val="24"/>
                <w:lang w:val="en-US"/>
              </w:rPr>
              <w:t>4</w:t>
            </w:r>
            <w:r>
              <w:rPr>
                <w:rFonts w:hint="eastAsia" w:ascii="仿宋_GB2312" w:hAnsi="仿宋_GB2312" w:eastAsia="仿宋_GB2312" w:cs="仿宋_GB2312"/>
                <w:szCs w:val="24"/>
              </w:rPr>
              <w:t>周</w:t>
            </w:r>
          </w:p>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lang w:val="en-US"/>
              </w:rPr>
              <w:t>9</w:t>
            </w:r>
            <w:r>
              <w:rPr>
                <w:rFonts w:hint="eastAsia" w:ascii="仿宋_GB2312" w:hAnsi="仿宋_GB2312" w:eastAsia="仿宋_GB2312" w:cs="仿宋_GB2312"/>
                <w:szCs w:val="24"/>
              </w:rPr>
              <w:t>月</w:t>
            </w:r>
            <w:r>
              <w:rPr>
                <w:rFonts w:hint="eastAsia" w:ascii="仿宋_GB2312" w:hAnsi="仿宋_GB2312" w:eastAsia="仿宋_GB2312" w:cs="仿宋_GB2312"/>
                <w:szCs w:val="24"/>
                <w:lang w:val="en-US"/>
              </w:rPr>
              <w:t>27</w:t>
            </w:r>
            <w:r>
              <w:rPr>
                <w:rFonts w:hint="eastAsia" w:ascii="仿宋_GB2312" w:hAnsi="仿宋_GB2312" w:eastAsia="仿宋_GB2312" w:cs="仿宋_GB2312"/>
                <w:szCs w:val="24"/>
              </w:rPr>
              <w:t>日</w:t>
            </w:r>
          </w:p>
        </w:tc>
        <w:tc>
          <w:tcPr>
            <w:tcW w:w="697"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2</w:t>
            </w:r>
          </w:p>
        </w:tc>
        <w:tc>
          <w:tcPr>
            <w:tcW w:w="5252"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法学院</w:t>
            </w:r>
          </w:p>
        </w:tc>
        <w:tc>
          <w:tcPr>
            <w:tcW w:w="1740"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第</w:t>
            </w:r>
            <w:r>
              <w:rPr>
                <w:rFonts w:hint="eastAsia" w:ascii="仿宋_GB2312" w:hAnsi="仿宋_GB2312" w:eastAsia="仿宋_GB2312" w:cs="仿宋_GB2312"/>
                <w:szCs w:val="24"/>
                <w:lang w:val="en-US"/>
              </w:rPr>
              <w:t>6</w:t>
            </w:r>
            <w:r>
              <w:rPr>
                <w:rFonts w:hint="eastAsia" w:ascii="仿宋_GB2312" w:hAnsi="仿宋_GB2312" w:eastAsia="仿宋_GB2312" w:cs="仿宋_GB2312"/>
                <w:szCs w:val="24"/>
              </w:rPr>
              <w:t>周</w:t>
            </w:r>
          </w:p>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lang w:val="en-US"/>
              </w:rPr>
              <w:t>10</w:t>
            </w:r>
            <w:r>
              <w:rPr>
                <w:rFonts w:hint="eastAsia" w:ascii="仿宋_GB2312" w:hAnsi="仿宋_GB2312" w:eastAsia="仿宋_GB2312" w:cs="仿宋_GB2312"/>
                <w:szCs w:val="24"/>
              </w:rPr>
              <w:t>月</w:t>
            </w:r>
            <w:r>
              <w:rPr>
                <w:rFonts w:hint="eastAsia" w:ascii="仿宋_GB2312" w:hAnsi="仿宋_GB2312" w:eastAsia="仿宋_GB2312" w:cs="仿宋_GB2312"/>
                <w:szCs w:val="24"/>
                <w:lang w:val="en-US"/>
              </w:rPr>
              <w:t>11</w:t>
            </w:r>
            <w:r>
              <w:rPr>
                <w:rFonts w:hint="eastAsia" w:ascii="仿宋_GB2312" w:hAnsi="仿宋_GB2312" w:eastAsia="仿宋_GB2312" w:cs="仿宋_GB2312"/>
                <w:szCs w:val="24"/>
              </w:rPr>
              <w:t>日</w:t>
            </w:r>
          </w:p>
        </w:tc>
        <w:tc>
          <w:tcPr>
            <w:tcW w:w="697"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3</w:t>
            </w:r>
          </w:p>
        </w:tc>
        <w:tc>
          <w:tcPr>
            <w:tcW w:w="5252"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体育学院</w:t>
            </w:r>
          </w:p>
        </w:tc>
        <w:tc>
          <w:tcPr>
            <w:tcW w:w="1740"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第</w:t>
            </w:r>
            <w:r>
              <w:rPr>
                <w:rFonts w:hint="eastAsia" w:ascii="仿宋_GB2312" w:hAnsi="仿宋_GB2312" w:eastAsia="仿宋_GB2312" w:cs="仿宋_GB2312"/>
                <w:szCs w:val="24"/>
                <w:lang w:val="en-US"/>
              </w:rPr>
              <w:t>7</w:t>
            </w:r>
            <w:r>
              <w:rPr>
                <w:rFonts w:hint="eastAsia" w:ascii="仿宋_GB2312" w:hAnsi="仿宋_GB2312" w:eastAsia="仿宋_GB2312" w:cs="仿宋_GB2312"/>
                <w:szCs w:val="24"/>
              </w:rPr>
              <w:t>周</w:t>
            </w:r>
          </w:p>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lang w:val="en-US"/>
              </w:rPr>
              <w:t>10</w:t>
            </w:r>
            <w:r>
              <w:rPr>
                <w:rFonts w:hint="eastAsia" w:ascii="仿宋_GB2312" w:hAnsi="仿宋_GB2312" w:eastAsia="仿宋_GB2312" w:cs="仿宋_GB2312"/>
                <w:szCs w:val="24"/>
              </w:rPr>
              <w:t>月</w:t>
            </w:r>
            <w:r>
              <w:rPr>
                <w:rFonts w:hint="eastAsia" w:ascii="仿宋_GB2312" w:hAnsi="仿宋_GB2312" w:eastAsia="仿宋_GB2312" w:cs="仿宋_GB2312"/>
                <w:szCs w:val="24"/>
                <w:lang w:val="en-US"/>
              </w:rPr>
              <w:t>18</w:t>
            </w:r>
            <w:r>
              <w:rPr>
                <w:rFonts w:hint="eastAsia" w:ascii="仿宋_GB2312" w:hAnsi="仿宋_GB2312" w:eastAsia="仿宋_GB2312" w:cs="仿宋_GB2312"/>
                <w:szCs w:val="24"/>
              </w:rPr>
              <w:t>日</w:t>
            </w:r>
          </w:p>
        </w:tc>
        <w:tc>
          <w:tcPr>
            <w:tcW w:w="697"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4</w:t>
            </w:r>
          </w:p>
        </w:tc>
        <w:tc>
          <w:tcPr>
            <w:tcW w:w="5252"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新闻传播与影视学院</w:t>
            </w:r>
          </w:p>
        </w:tc>
        <w:tc>
          <w:tcPr>
            <w:tcW w:w="1740"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第</w:t>
            </w:r>
            <w:r>
              <w:rPr>
                <w:rFonts w:hint="eastAsia" w:ascii="仿宋_GB2312" w:hAnsi="仿宋_GB2312" w:eastAsia="仿宋_GB2312" w:cs="仿宋_GB2312"/>
                <w:szCs w:val="24"/>
                <w:lang w:val="en-US"/>
              </w:rPr>
              <w:t>8</w:t>
            </w:r>
            <w:r>
              <w:rPr>
                <w:rFonts w:hint="eastAsia" w:ascii="仿宋_GB2312" w:hAnsi="仿宋_GB2312" w:eastAsia="仿宋_GB2312" w:cs="仿宋_GB2312"/>
                <w:szCs w:val="24"/>
              </w:rPr>
              <w:t>周</w:t>
            </w:r>
          </w:p>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lang w:val="en-US"/>
              </w:rPr>
              <w:t>10</w:t>
            </w:r>
            <w:r>
              <w:rPr>
                <w:rFonts w:hint="eastAsia" w:ascii="仿宋_GB2312" w:hAnsi="仿宋_GB2312" w:eastAsia="仿宋_GB2312" w:cs="仿宋_GB2312"/>
                <w:szCs w:val="24"/>
              </w:rPr>
              <w:t>月</w:t>
            </w:r>
            <w:r>
              <w:rPr>
                <w:rFonts w:hint="eastAsia" w:ascii="仿宋_GB2312" w:hAnsi="仿宋_GB2312" w:eastAsia="仿宋_GB2312" w:cs="仿宋_GB2312"/>
                <w:szCs w:val="24"/>
                <w:lang w:val="en-US" w:eastAsia="zh-CN"/>
              </w:rPr>
              <w:t>25</w:t>
            </w:r>
            <w:r>
              <w:rPr>
                <w:rFonts w:hint="eastAsia" w:ascii="仿宋_GB2312" w:hAnsi="仿宋_GB2312" w:eastAsia="仿宋_GB2312" w:cs="仿宋_GB2312"/>
                <w:szCs w:val="24"/>
              </w:rPr>
              <w:t>日</w:t>
            </w:r>
          </w:p>
        </w:tc>
        <w:tc>
          <w:tcPr>
            <w:tcW w:w="697"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5</w:t>
            </w:r>
          </w:p>
        </w:tc>
        <w:tc>
          <w:tcPr>
            <w:tcW w:w="5252"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经济与管理学院</w:t>
            </w:r>
          </w:p>
        </w:tc>
        <w:tc>
          <w:tcPr>
            <w:tcW w:w="1740"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第</w:t>
            </w:r>
            <w:r>
              <w:rPr>
                <w:rFonts w:hint="eastAsia" w:ascii="仿宋_GB2312" w:hAnsi="仿宋_GB2312" w:eastAsia="仿宋_GB2312" w:cs="仿宋_GB2312"/>
                <w:szCs w:val="24"/>
                <w:lang w:val="en-US"/>
              </w:rPr>
              <w:t>9</w:t>
            </w:r>
            <w:r>
              <w:rPr>
                <w:rFonts w:hint="eastAsia" w:ascii="仿宋_GB2312" w:hAnsi="仿宋_GB2312" w:eastAsia="仿宋_GB2312" w:cs="仿宋_GB2312"/>
                <w:szCs w:val="24"/>
              </w:rPr>
              <w:t>周</w:t>
            </w:r>
          </w:p>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lang w:val="en-US"/>
              </w:rPr>
              <w:t>11</w:t>
            </w:r>
            <w:r>
              <w:rPr>
                <w:rFonts w:hint="eastAsia" w:ascii="仿宋_GB2312" w:hAnsi="仿宋_GB2312" w:eastAsia="仿宋_GB2312" w:cs="仿宋_GB2312"/>
                <w:szCs w:val="24"/>
              </w:rPr>
              <w:t>月</w:t>
            </w:r>
            <w:r>
              <w:rPr>
                <w:rFonts w:hint="eastAsia" w:ascii="仿宋_GB2312" w:hAnsi="仿宋_GB2312" w:eastAsia="仿宋_GB2312" w:cs="仿宋_GB2312"/>
                <w:szCs w:val="24"/>
                <w:lang w:val="en-US" w:eastAsia="zh-CN"/>
              </w:rPr>
              <w:t>1</w:t>
            </w:r>
            <w:r>
              <w:rPr>
                <w:rFonts w:hint="eastAsia" w:ascii="仿宋_GB2312" w:hAnsi="仿宋_GB2312" w:eastAsia="仿宋_GB2312" w:cs="仿宋_GB2312"/>
                <w:szCs w:val="24"/>
              </w:rPr>
              <w:t>日</w:t>
            </w:r>
          </w:p>
        </w:tc>
        <w:tc>
          <w:tcPr>
            <w:tcW w:w="697"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6</w:t>
            </w:r>
          </w:p>
        </w:tc>
        <w:tc>
          <w:tcPr>
            <w:tcW w:w="5252"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化学与化工学院</w:t>
            </w:r>
          </w:p>
        </w:tc>
        <w:tc>
          <w:tcPr>
            <w:tcW w:w="1740"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第</w:t>
            </w:r>
            <w:r>
              <w:rPr>
                <w:rFonts w:hint="eastAsia" w:ascii="仿宋_GB2312" w:hAnsi="仿宋_GB2312" w:eastAsia="仿宋_GB2312" w:cs="仿宋_GB2312"/>
                <w:szCs w:val="24"/>
                <w:lang w:val="en-US"/>
              </w:rPr>
              <w:t>10</w:t>
            </w:r>
            <w:r>
              <w:rPr>
                <w:rFonts w:hint="eastAsia" w:ascii="仿宋_GB2312" w:hAnsi="仿宋_GB2312" w:eastAsia="仿宋_GB2312" w:cs="仿宋_GB2312"/>
                <w:szCs w:val="24"/>
              </w:rPr>
              <w:t>周</w:t>
            </w:r>
          </w:p>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lang w:val="en-US"/>
              </w:rPr>
              <w:t>11</w:t>
            </w:r>
            <w:r>
              <w:rPr>
                <w:rFonts w:hint="eastAsia" w:ascii="仿宋_GB2312" w:hAnsi="仿宋_GB2312" w:eastAsia="仿宋_GB2312" w:cs="仿宋_GB2312"/>
                <w:szCs w:val="24"/>
              </w:rPr>
              <w:t>月</w:t>
            </w:r>
            <w:r>
              <w:rPr>
                <w:rFonts w:hint="eastAsia" w:ascii="仿宋_GB2312" w:hAnsi="仿宋_GB2312" w:eastAsia="仿宋_GB2312" w:cs="仿宋_GB2312"/>
                <w:szCs w:val="24"/>
                <w:lang w:val="en-US"/>
              </w:rPr>
              <w:t>8</w:t>
            </w:r>
            <w:r>
              <w:rPr>
                <w:rFonts w:hint="eastAsia" w:ascii="仿宋_GB2312" w:hAnsi="仿宋_GB2312" w:eastAsia="仿宋_GB2312" w:cs="仿宋_GB2312"/>
                <w:szCs w:val="24"/>
              </w:rPr>
              <w:t>日</w:t>
            </w:r>
          </w:p>
        </w:tc>
        <w:tc>
          <w:tcPr>
            <w:tcW w:w="697"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7</w:t>
            </w:r>
          </w:p>
        </w:tc>
        <w:tc>
          <w:tcPr>
            <w:tcW w:w="5252"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外国语学院</w:t>
            </w:r>
          </w:p>
        </w:tc>
        <w:tc>
          <w:tcPr>
            <w:tcW w:w="1740"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第</w:t>
            </w:r>
            <w:r>
              <w:rPr>
                <w:rFonts w:hint="eastAsia" w:ascii="仿宋_GB2312" w:hAnsi="仿宋_GB2312" w:eastAsia="仿宋_GB2312" w:cs="仿宋_GB2312"/>
                <w:szCs w:val="24"/>
                <w:lang w:val="en-US"/>
              </w:rPr>
              <w:t>11</w:t>
            </w:r>
            <w:r>
              <w:rPr>
                <w:rFonts w:hint="eastAsia" w:ascii="仿宋_GB2312" w:hAnsi="仿宋_GB2312" w:eastAsia="仿宋_GB2312" w:cs="仿宋_GB2312"/>
                <w:szCs w:val="24"/>
              </w:rPr>
              <w:t>周</w:t>
            </w:r>
          </w:p>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lang w:val="en-US"/>
              </w:rPr>
              <w:t>11</w:t>
            </w:r>
            <w:r>
              <w:rPr>
                <w:rFonts w:hint="eastAsia" w:ascii="仿宋_GB2312" w:hAnsi="仿宋_GB2312" w:eastAsia="仿宋_GB2312" w:cs="仿宋_GB2312"/>
                <w:szCs w:val="24"/>
              </w:rPr>
              <w:t>月</w:t>
            </w:r>
            <w:r>
              <w:rPr>
                <w:rFonts w:hint="eastAsia" w:ascii="仿宋_GB2312" w:hAnsi="仿宋_GB2312" w:eastAsia="仿宋_GB2312" w:cs="仿宋_GB2312"/>
                <w:szCs w:val="24"/>
                <w:lang w:val="en-US"/>
              </w:rPr>
              <w:t>15</w:t>
            </w:r>
            <w:r>
              <w:rPr>
                <w:rFonts w:hint="eastAsia" w:ascii="仿宋_GB2312" w:hAnsi="仿宋_GB2312" w:eastAsia="仿宋_GB2312" w:cs="仿宋_GB2312"/>
                <w:szCs w:val="24"/>
              </w:rPr>
              <w:t>日</w:t>
            </w:r>
          </w:p>
        </w:tc>
        <w:tc>
          <w:tcPr>
            <w:tcW w:w="697" w:type="dxa"/>
            <w:vAlign w:val="center"/>
          </w:tcPr>
          <w:p>
            <w:pPr>
              <w:widowControl/>
              <w:jc w:val="center"/>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8</w:t>
            </w:r>
          </w:p>
        </w:tc>
        <w:tc>
          <w:tcPr>
            <w:tcW w:w="5252"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美术学院</w:t>
            </w:r>
          </w:p>
        </w:tc>
        <w:tc>
          <w:tcPr>
            <w:tcW w:w="1740"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第</w:t>
            </w:r>
            <w:r>
              <w:rPr>
                <w:rFonts w:hint="eastAsia" w:ascii="仿宋_GB2312" w:hAnsi="仿宋_GB2312" w:eastAsia="仿宋_GB2312" w:cs="仿宋_GB2312"/>
                <w:szCs w:val="24"/>
                <w:lang w:val="en-US" w:eastAsia="zh-CN"/>
              </w:rPr>
              <w:t>12</w:t>
            </w:r>
            <w:r>
              <w:rPr>
                <w:rFonts w:hint="eastAsia" w:ascii="仿宋_GB2312" w:hAnsi="仿宋_GB2312" w:eastAsia="仿宋_GB2312" w:cs="仿宋_GB2312"/>
                <w:szCs w:val="24"/>
              </w:rPr>
              <w:t>周</w:t>
            </w:r>
          </w:p>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lang w:val="en-US"/>
              </w:rPr>
              <w:t>11</w:t>
            </w:r>
            <w:r>
              <w:rPr>
                <w:rFonts w:hint="eastAsia" w:ascii="仿宋_GB2312" w:hAnsi="仿宋_GB2312" w:eastAsia="仿宋_GB2312" w:cs="仿宋_GB2312"/>
                <w:szCs w:val="24"/>
              </w:rPr>
              <w:t>月</w:t>
            </w:r>
            <w:r>
              <w:rPr>
                <w:rFonts w:hint="eastAsia" w:ascii="仿宋_GB2312" w:hAnsi="仿宋_GB2312" w:eastAsia="仿宋_GB2312" w:cs="仿宋_GB2312"/>
                <w:szCs w:val="24"/>
                <w:lang w:val="en-US"/>
              </w:rPr>
              <w:t>22</w:t>
            </w:r>
            <w:r>
              <w:rPr>
                <w:rFonts w:hint="eastAsia" w:ascii="仿宋_GB2312" w:hAnsi="仿宋_GB2312" w:eastAsia="仿宋_GB2312" w:cs="仿宋_GB2312"/>
                <w:szCs w:val="24"/>
              </w:rPr>
              <w:t>日</w:t>
            </w:r>
          </w:p>
        </w:tc>
        <w:tc>
          <w:tcPr>
            <w:tcW w:w="697"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9</w:t>
            </w:r>
          </w:p>
        </w:tc>
        <w:tc>
          <w:tcPr>
            <w:tcW w:w="5252"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信息科学技术学院</w:t>
            </w:r>
          </w:p>
        </w:tc>
        <w:tc>
          <w:tcPr>
            <w:tcW w:w="1740"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第1</w:t>
            </w:r>
            <w:r>
              <w:rPr>
                <w:rFonts w:hint="eastAsia" w:ascii="仿宋_GB2312" w:hAnsi="仿宋_GB2312" w:eastAsia="仿宋_GB2312" w:cs="仿宋_GB2312"/>
                <w:szCs w:val="24"/>
                <w:lang w:val="en-US"/>
              </w:rPr>
              <w:t>3</w:t>
            </w:r>
            <w:r>
              <w:rPr>
                <w:rFonts w:hint="eastAsia" w:ascii="仿宋_GB2312" w:hAnsi="仿宋_GB2312" w:eastAsia="仿宋_GB2312" w:cs="仿宋_GB2312"/>
                <w:szCs w:val="24"/>
              </w:rPr>
              <w:t>周</w:t>
            </w:r>
          </w:p>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lang w:val="en-US"/>
              </w:rPr>
              <w:t>11</w:t>
            </w:r>
            <w:r>
              <w:rPr>
                <w:rFonts w:hint="eastAsia" w:ascii="仿宋_GB2312" w:hAnsi="仿宋_GB2312" w:eastAsia="仿宋_GB2312" w:cs="仿宋_GB2312"/>
                <w:szCs w:val="24"/>
              </w:rPr>
              <w:t>月</w:t>
            </w:r>
            <w:r>
              <w:rPr>
                <w:rFonts w:hint="eastAsia" w:ascii="仿宋_GB2312" w:hAnsi="仿宋_GB2312" w:eastAsia="仿宋_GB2312" w:cs="仿宋_GB2312"/>
                <w:szCs w:val="24"/>
                <w:lang w:val="en-US"/>
              </w:rPr>
              <w:t>29</w:t>
            </w:r>
            <w:r>
              <w:rPr>
                <w:rFonts w:hint="eastAsia" w:ascii="仿宋_GB2312" w:hAnsi="仿宋_GB2312" w:eastAsia="仿宋_GB2312" w:cs="仿宋_GB2312"/>
                <w:szCs w:val="24"/>
              </w:rPr>
              <w:t>日</w:t>
            </w:r>
          </w:p>
        </w:tc>
        <w:tc>
          <w:tcPr>
            <w:tcW w:w="697"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1</w:t>
            </w:r>
            <w:r>
              <w:rPr>
                <w:rFonts w:hint="eastAsia" w:ascii="仿宋_GB2312" w:hAnsi="仿宋_GB2312" w:eastAsia="仿宋_GB2312" w:cs="仿宋_GB2312"/>
                <w:szCs w:val="24"/>
                <w:lang w:val="en-US" w:eastAsia="zh-CN"/>
              </w:rPr>
              <w:t>0</w:t>
            </w:r>
          </w:p>
        </w:tc>
        <w:tc>
          <w:tcPr>
            <w:tcW w:w="5252"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教育学院</w:t>
            </w:r>
          </w:p>
        </w:tc>
        <w:tc>
          <w:tcPr>
            <w:tcW w:w="1740"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第1</w:t>
            </w:r>
            <w:r>
              <w:rPr>
                <w:rFonts w:hint="eastAsia" w:ascii="仿宋_GB2312" w:hAnsi="仿宋_GB2312" w:eastAsia="仿宋_GB2312" w:cs="仿宋_GB2312"/>
                <w:szCs w:val="24"/>
                <w:lang w:val="en-US"/>
              </w:rPr>
              <w:t>4</w:t>
            </w:r>
            <w:r>
              <w:rPr>
                <w:rFonts w:hint="eastAsia" w:ascii="仿宋_GB2312" w:hAnsi="仿宋_GB2312" w:eastAsia="仿宋_GB2312" w:cs="仿宋_GB2312"/>
                <w:szCs w:val="24"/>
              </w:rPr>
              <w:t>周</w:t>
            </w:r>
          </w:p>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lang w:val="en-US"/>
              </w:rPr>
              <w:t>12</w:t>
            </w:r>
            <w:r>
              <w:rPr>
                <w:rFonts w:hint="eastAsia" w:ascii="仿宋_GB2312" w:hAnsi="仿宋_GB2312" w:eastAsia="仿宋_GB2312" w:cs="仿宋_GB2312"/>
                <w:szCs w:val="24"/>
              </w:rPr>
              <w:t>月</w:t>
            </w:r>
            <w:r>
              <w:rPr>
                <w:rFonts w:hint="eastAsia" w:ascii="仿宋_GB2312" w:hAnsi="仿宋_GB2312" w:eastAsia="仿宋_GB2312" w:cs="仿宋_GB2312"/>
                <w:szCs w:val="24"/>
                <w:lang w:val="en-US"/>
              </w:rPr>
              <w:t>6</w:t>
            </w:r>
            <w:r>
              <w:rPr>
                <w:rFonts w:hint="eastAsia" w:ascii="仿宋_GB2312" w:hAnsi="仿宋_GB2312" w:eastAsia="仿宋_GB2312" w:cs="仿宋_GB2312"/>
                <w:szCs w:val="24"/>
              </w:rPr>
              <w:t>日</w:t>
            </w:r>
          </w:p>
        </w:tc>
        <w:tc>
          <w:tcPr>
            <w:tcW w:w="697"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rPr>
              <w:t>1</w:t>
            </w:r>
            <w:r>
              <w:rPr>
                <w:rFonts w:hint="eastAsia" w:ascii="仿宋_GB2312" w:hAnsi="仿宋_GB2312" w:eastAsia="仿宋_GB2312" w:cs="仿宋_GB2312"/>
                <w:szCs w:val="24"/>
                <w:lang w:val="en-US" w:eastAsia="zh-CN"/>
              </w:rPr>
              <w:t>1</w:t>
            </w:r>
          </w:p>
        </w:tc>
        <w:tc>
          <w:tcPr>
            <w:tcW w:w="5252"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历史学院</w:t>
            </w:r>
          </w:p>
        </w:tc>
        <w:tc>
          <w:tcPr>
            <w:tcW w:w="1740"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第1</w:t>
            </w:r>
            <w:r>
              <w:rPr>
                <w:rFonts w:hint="eastAsia" w:ascii="仿宋_GB2312" w:hAnsi="仿宋_GB2312" w:eastAsia="仿宋_GB2312" w:cs="仿宋_GB2312"/>
                <w:szCs w:val="24"/>
                <w:lang w:val="en-US"/>
              </w:rPr>
              <w:t>5</w:t>
            </w:r>
            <w:r>
              <w:rPr>
                <w:rFonts w:hint="eastAsia" w:ascii="仿宋_GB2312" w:hAnsi="仿宋_GB2312" w:eastAsia="仿宋_GB2312" w:cs="仿宋_GB2312"/>
                <w:szCs w:val="24"/>
              </w:rPr>
              <w:t>周</w:t>
            </w:r>
          </w:p>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lang w:val="en-US"/>
              </w:rPr>
              <w:t>12</w:t>
            </w:r>
            <w:r>
              <w:rPr>
                <w:rFonts w:hint="eastAsia" w:ascii="仿宋_GB2312" w:hAnsi="仿宋_GB2312" w:eastAsia="仿宋_GB2312" w:cs="仿宋_GB2312"/>
                <w:szCs w:val="24"/>
              </w:rPr>
              <w:t>月</w:t>
            </w:r>
            <w:r>
              <w:rPr>
                <w:rFonts w:hint="eastAsia" w:ascii="仿宋_GB2312" w:hAnsi="仿宋_GB2312" w:eastAsia="仿宋_GB2312" w:cs="仿宋_GB2312"/>
                <w:szCs w:val="24"/>
                <w:lang w:val="en-US"/>
              </w:rPr>
              <w:t>13</w:t>
            </w:r>
            <w:r>
              <w:rPr>
                <w:rFonts w:hint="eastAsia" w:ascii="仿宋_GB2312" w:hAnsi="仿宋_GB2312" w:eastAsia="仿宋_GB2312" w:cs="仿宋_GB2312"/>
                <w:szCs w:val="24"/>
              </w:rPr>
              <w:t>日</w:t>
            </w:r>
          </w:p>
        </w:tc>
        <w:tc>
          <w:tcPr>
            <w:tcW w:w="697"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6" w:type="dxa"/>
            <w:vAlign w:val="center"/>
          </w:tcPr>
          <w:p>
            <w:pPr>
              <w:widowControl/>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12</w:t>
            </w:r>
          </w:p>
        </w:tc>
        <w:tc>
          <w:tcPr>
            <w:tcW w:w="5252" w:type="dxa"/>
            <w:vAlign w:val="center"/>
          </w:tcPr>
          <w:p>
            <w:pPr>
              <w:widowControl/>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文学院</w:t>
            </w:r>
          </w:p>
        </w:tc>
        <w:tc>
          <w:tcPr>
            <w:tcW w:w="1740"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第1</w:t>
            </w:r>
            <w:r>
              <w:rPr>
                <w:rFonts w:hint="eastAsia" w:ascii="仿宋_GB2312" w:hAnsi="仿宋_GB2312" w:eastAsia="仿宋_GB2312" w:cs="仿宋_GB2312"/>
                <w:szCs w:val="24"/>
                <w:lang w:val="en-US"/>
              </w:rPr>
              <w:t>6</w:t>
            </w:r>
            <w:r>
              <w:rPr>
                <w:rFonts w:hint="eastAsia" w:ascii="仿宋_GB2312" w:hAnsi="仿宋_GB2312" w:eastAsia="仿宋_GB2312" w:cs="仿宋_GB2312"/>
                <w:szCs w:val="24"/>
              </w:rPr>
              <w:t>周</w:t>
            </w:r>
          </w:p>
          <w:p>
            <w:pPr>
              <w:widowControl/>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rPr>
              <w:t>12</w:t>
            </w:r>
            <w:r>
              <w:rPr>
                <w:rFonts w:hint="eastAsia" w:ascii="仿宋_GB2312" w:hAnsi="仿宋_GB2312" w:eastAsia="仿宋_GB2312" w:cs="仿宋_GB2312"/>
                <w:szCs w:val="24"/>
              </w:rPr>
              <w:t>月</w:t>
            </w:r>
            <w:r>
              <w:rPr>
                <w:rFonts w:hint="eastAsia" w:ascii="仿宋_GB2312" w:hAnsi="仿宋_GB2312" w:eastAsia="仿宋_GB2312" w:cs="仿宋_GB2312"/>
                <w:szCs w:val="24"/>
                <w:lang w:val="en-US"/>
              </w:rPr>
              <w:t>20</w:t>
            </w:r>
            <w:r>
              <w:rPr>
                <w:rFonts w:hint="eastAsia" w:ascii="仿宋_GB2312" w:hAnsi="仿宋_GB2312" w:eastAsia="仿宋_GB2312" w:cs="仿宋_GB2312"/>
                <w:szCs w:val="24"/>
              </w:rPr>
              <w:t>日</w:t>
            </w:r>
          </w:p>
        </w:tc>
        <w:tc>
          <w:tcPr>
            <w:tcW w:w="697" w:type="dxa"/>
            <w:vAlign w:val="center"/>
          </w:tcPr>
          <w:p>
            <w:pPr>
              <w:widowControl/>
              <w:jc w:val="center"/>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6" w:type="dxa"/>
            <w:vAlign w:val="center"/>
          </w:tcPr>
          <w:p>
            <w:pPr>
              <w:widowControl/>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13</w:t>
            </w:r>
          </w:p>
        </w:tc>
        <w:tc>
          <w:tcPr>
            <w:tcW w:w="5252" w:type="dxa"/>
            <w:vAlign w:val="center"/>
          </w:tcPr>
          <w:p>
            <w:pPr>
              <w:widowControl/>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Cs w:val="24"/>
                <w:lang w:eastAsia="zh-CN"/>
              </w:rPr>
              <w:t>地理与环境科学</w:t>
            </w:r>
            <w:r>
              <w:rPr>
                <w:rFonts w:hint="eastAsia" w:ascii="仿宋_GB2312" w:hAnsi="仿宋_GB2312" w:eastAsia="仿宋_GB2312" w:cs="仿宋_GB2312"/>
                <w:szCs w:val="24"/>
              </w:rPr>
              <w:t>学院</w:t>
            </w:r>
          </w:p>
        </w:tc>
        <w:tc>
          <w:tcPr>
            <w:tcW w:w="1740"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第1</w:t>
            </w:r>
            <w:r>
              <w:rPr>
                <w:rFonts w:hint="eastAsia" w:ascii="仿宋_GB2312" w:hAnsi="仿宋_GB2312" w:eastAsia="仿宋_GB2312" w:cs="仿宋_GB2312"/>
                <w:szCs w:val="24"/>
                <w:lang w:val="en-US" w:eastAsia="zh-CN"/>
              </w:rPr>
              <w:t>7</w:t>
            </w:r>
            <w:r>
              <w:rPr>
                <w:rFonts w:hint="eastAsia" w:ascii="仿宋_GB2312" w:hAnsi="仿宋_GB2312" w:eastAsia="仿宋_GB2312" w:cs="仿宋_GB2312"/>
                <w:szCs w:val="24"/>
              </w:rPr>
              <w:t>周</w:t>
            </w:r>
          </w:p>
          <w:p>
            <w:pPr>
              <w:widowControl/>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rPr>
              <w:t>12</w:t>
            </w:r>
            <w:r>
              <w:rPr>
                <w:rFonts w:hint="eastAsia" w:ascii="仿宋_GB2312" w:hAnsi="仿宋_GB2312" w:eastAsia="仿宋_GB2312" w:cs="仿宋_GB2312"/>
                <w:szCs w:val="24"/>
              </w:rPr>
              <w:t>月</w:t>
            </w:r>
            <w:r>
              <w:rPr>
                <w:rFonts w:hint="eastAsia" w:ascii="仿宋_GB2312" w:hAnsi="仿宋_GB2312" w:eastAsia="仿宋_GB2312" w:cs="仿宋_GB2312"/>
                <w:szCs w:val="24"/>
                <w:lang w:val="en-US" w:eastAsia="zh-CN"/>
              </w:rPr>
              <w:t>27</w:t>
            </w:r>
            <w:r>
              <w:rPr>
                <w:rFonts w:hint="eastAsia" w:ascii="仿宋_GB2312" w:hAnsi="仿宋_GB2312" w:eastAsia="仿宋_GB2312" w:cs="仿宋_GB2312"/>
                <w:szCs w:val="24"/>
              </w:rPr>
              <w:t>日</w:t>
            </w:r>
          </w:p>
        </w:tc>
        <w:tc>
          <w:tcPr>
            <w:tcW w:w="697" w:type="dxa"/>
            <w:vAlign w:val="center"/>
          </w:tcPr>
          <w:p>
            <w:pPr>
              <w:widowControl/>
              <w:jc w:val="center"/>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6" w:type="dxa"/>
            <w:vAlign w:val="center"/>
          </w:tcPr>
          <w:p>
            <w:pPr>
              <w:widowControl/>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14</w:t>
            </w:r>
          </w:p>
        </w:tc>
        <w:tc>
          <w:tcPr>
            <w:tcW w:w="5252" w:type="dxa"/>
            <w:vAlign w:val="center"/>
          </w:tcPr>
          <w:p>
            <w:pPr>
              <w:widowControl/>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旅游学院</w:t>
            </w:r>
          </w:p>
        </w:tc>
        <w:tc>
          <w:tcPr>
            <w:tcW w:w="1740" w:type="dxa"/>
            <w:vAlign w:val="center"/>
          </w:tcPr>
          <w:p>
            <w:pPr>
              <w:widowControl/>
              <w:jc w:val="center"/>
              <w:rPr>
                <w:rFonts w:hint="eastAsia" w:ascii="仿宋_GB2312" w:hAnsi="仿宋_GB2312" w:eastAsia="仿宋_GB2312" w:cs="仿宋_GB2312"/>
                <w:szCs w:val="24"/>
              </w:rPr>
            </w:pPr>
            <w:r>
              <w:rPr>
                <w:rFonts w:hint="eastAsia" w:ascii="仿宋_GB2312" w:hAnsi="仿宋_GB2312" w:eastAsia="仿宋_GB2312" w:cs="仿宋_GB2312"/>
                <w:szCs w:val="24"/>
              </w:rPr>
              <w:t>第</w:t>
            </w:r>
            <w:r>
              <w:rPr>
                <w:rFonts w:hint="eastAsia" w:ascii="仿宋_GB2312" w:hAnsi="仿宋_GB2312" w:eastAsia="仿宋_GB2312" w:cs="仿宋_GB2312"/>
                <w:szCs w:val="24"/>
                <w:lang w:val="en-US" w:eastAsia="zh-CN"/>
              </w:rPr>
              <w:t>18</w:t>
            </w:r>
            <w:r>
              <w:rPr>
                <w:rFonts w:hint="eastAsia" w:ascii="仿宋_GB2312" w:hAnsi="仿宋_GB2312" w:eastAsia="仿宋_GB2312" w:cs="仿宋_GB2312"/>
                <w:szCs w:val="24"/>
              </w:rPr>
              <w:t>周</w:t>
            </w:r>
          </w:p>
          <w:p>
            <w:pPr>
              <w:widowControl/>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rPr>
              <w:t>1</w:t>
            </w:r>
            <w:r>
              <w:rPr>
                <w:rFonts w:hint="eastAsia" w:ascii="仿宋_GB2312" w:hAnsi="仿宋_GB2312" w:eastAsia="仿宋_GB2312" w:cs="仿宋_GB2312"/>
                <w:szCs w:val="24"/>
              </w:rPr>
              <w:t>月</w:t>
            </w:r>
            <w:r>
              <w:rPr>
                <w:rFonts w:hint="eastAsia" w:ascii="仿宋_GB2312" w:hAnsi="仿宋_GB2312" w:eastAsia="仿宋_GB2312" w:cs="仿宋_GB2312"/>
                <w:szCs w:val="24"/>
                <w:lang w:val="en-US"/>
              </w:rPr>
              <w:t>3</w:t>
            </w:r>
            <w:r>
              <w:rPr>
                <w:rFonts w:hint="eastAsia" w:ascii="仿宋_GB2312" w:hAnsi="仿宋_GB2312" w:eastAsia="仿宋_GB2312" w:cs="仿宋_GB2312"/>
                <w:szCs w:val="24"/>
              </w:rPr>
              <w:t>日</w:t>
            </w:r>
          </w:p>
        </w:tc>
        <w:tc>
          <w:tcPr>
            <w:tcW w:w="697" w:type="dxa"/>
            <w:vAlign w:val="center"/>
          </w:tcPr>
          <w:p>
            <w:pPr>
              <w:widowControl/>
              <w:jc w:val="center"/>
              <w:rPr>
                <w:rFonts w:hint="eastAsia" w:ascii="仿宋_GB2312" w:hAnsi="仿宋_GB2312" w:eastAsia="仿宋_GB2312" w:cs="仿宋_GB2312"/>
                <w:szCs w:val="24"/>
              </w:rPr>
            </w:pPr>
          </w:p>
        </w:tc>
      </w:tr>
    </w:tbl>
    <w:p>
      <w:pPr>
        <w:pStyle w:val="7"/>
        <w:shd w:val="clear" w:color="auto" w:fill="FFFFFF"/>
        <w:spacing w:line="2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（四）升旗仪式流程 </w:t>
      </w:r>
    </w:p>
    <w:p>
      <w:pPr>
        <w:pStyle w:val="7"/>
        <w:shd w:val="clear" w:color="auto" w:fill="FFFFFF"/>
        <w:spacing w:line="2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步骤一：升国旗</w:t>
      </w:r>
    </w:p>
    <w:p>
      <w:pPr>
        <w:pStyle w:val="7"/>
        <w:shd w:val="clear" w:color="auto" w:fill="FFFFFF"/>
        <w:spacing w:line="2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1.宣布升旗仪式开始（升旗仪式6:40正式开始）  </w:t>
      </w:r>
    </w:p>
    <w:p>
      <w:pPr>
        <w:pStyle w:val="7"/>
        <w:shd w:val="clear" w:color="auto" w:fill="FFFFFF"/>
        <w:spacing w:line="240" w:lineRule="atLeas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迎国旗</w:t>
      </w:r>
    </w:p>
    <w:p>
      <w:pPr>
        <w:pStyle w:val="7"/>
        <w:shd w:val="clear" w:color="auto" w:fill="FFFFFF"/>
        <w:spacing w:line="2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3.升旗、奏唱国歌及校歌</w:t>
      </w:r>
    </w:p>
    <w:p>
      <w:pPr>
        <w:pStyle w:val="7"/>
        <w:shd w:val="clear" w:color="auto" w:fill="FFFFFF"/>
        <w:spacing w:line="2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步骤二：国旗下的讲话</w:t>
      </w:r>
    </w:p>
    <w:p>
      <w:pPr>
        <w:pStyle w:val="7"/>
        <w:shd w:val="clear" w:color="auto" w:fill="FFFFFF"/>
        <w:spacing w:line="2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升旗仪式结束后，相关学院将本院学生带到指定位置，进行“国旗下的讲话”活动，讲话内容主要有： </w:t>
      </w:r>
    </w:p>
    <w:p>
      <w:pPr>
        <w:pStyle w:val="7"/>
        <w:shd w:val="clear" w:color="auto" w:fill="FFFFFF"/>
        <w:spacing w:line="2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1.时事政治教育</w:t>
      </w:r>
    </w:p>
    <w:p>
      <w:pPr>
        <w:pStyle w:val="7"/>
        <w:shd w:val="clear" w:color="auto" w:fill="FFFFFF"/>
        <w:spacing w:line="240" w:lineRule="atLeas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2.党史学习教育</w:t>
      </w:r>
    </w:p>
    <w:p>
      <w:pPr>
        <w:pStyle w:val="7"/>
        <w:shd w:val="clear" w:color="auto" w:fill="FFFFFF"/>
        <w:spacing w:line="2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eastAsia="zh-CN"/>
        </w:rPr>
        <w:t>近期</w:t>
      </w:r>
      <w:r>
        <w:rPr>
          <w:rFonts w:hint="eastAsia" w:ascii="仿宋_GB2312" w:hAnsi="仿宋_GB2312" w:eastAsia="仿宋_GB2312" w:cs="仿宋_GB2312"/>
          <w:sz w:val="32"/>
          <w:szCs w:val="32"/>
        </w:rPr>
        <w:t>工作</w:t>
      </w:r>
    </w:p>
    <w:p>
      <w:pPr>
        <w:pStyle w:val="7"/>
        <w:shd w:val="clear" w:color="auto" w:fill="FFFFFF"/>
        <w:spacing w:line="240" w:lineRule="atLeas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其他形式的爱国主义</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活动</w:t>
      </w:r>
    </w:p>
    <w:p>
      <w:pPr>
        <w:pStyle w:val="7"/>
        <w:shd w:val="clear" w:color="auto" w:fill="FFFFFF"/>
        <w:spacing w:line="2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步骤三：阳光运动或晨读等活动</w:t>
      </w:r>
    </w:p>
    <w:p>
      <w:pPr>
        <w:pStyle w:val="7"/>
        <w:shd w:val="clear" w:color="auto" w:fill="FFFFFF"/>
        <w:spacing w:line="24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各学院在升旗仪式及“国旗下的讲话”活动结束后组织本学院学生进行跑步健身或晨读等活动，活动形式不限，活动时间由各学院自行确定，务必达到活动效果。</w:t>
      </w:r>
    </w:p>
    <w:p>
      <w:pPr>
        <w:pStyle w:val="8"/>
        <w:spacing w:before="0" w:beforeAutospacing="0" w:after="0" w:afterAutospacing="0" w:line="360" w:lineRule="auto"/>
        <w:ind w:firstLine="578" w:firstLineChars="180"/>
        <w:rPr>
          <w:rFonts w:hint="eastAsia" w:ascii="黑体" w:hAnsi="黑体" w:eastAsia="黑体" w:cs="黑体"/>
          <w:b/>
          <w:bCs/>
          <w:color w:val="auto"/>
          <w:sz w:val="32"/>
          <w:szCs w:val="32"/>
        </w:rPr>
      </w:pPr>
      <w:r>
        <w:rPr>
          <w:rFonts w:hint="eastAsia" w:ascii="黑体" w:hAnsi="黑体" w:eastAsia="黑体" w:cs="黑体"/>
          <w:b/>
          <w:bCs/>
          <w:color w:val="auto"/>
          <w:sz w:val="32"/>
          <w:szCs w:val="32"/>
        </w:rPr>
        <w:t>四、活动要求</w:t>
      </w:r>
    </w:p>
    <w:p>
      <w:pPr>
        <w:pStyle w:val="8"/>
        <w:spacing w:before="0" w:beforeAutospacing="0" w:after="0" w:afterAutospacing="0" w:line="360" w:lineRule="auto"/>
        <w:ind w:firstLine="600"/>
        <w:rPr>
          <w:rFonts w:hint="eastAsia" w:ascii="楷体" w:hAnsi="楷体" w:eastAsia="楷体" w:cs="楷体"/>
          <w:color w:val="auto"/>
          <w:sz w:val="32"/>
          <w:szCs w:val="32"/>
        </w:rPr>
      </w:pPr>
      <w:r>
        <w:rPr>
          <w:rFonts w:hint="eastAsia" w:ascii="楷体" w:hAnsi="楷体" w:eastAsia="楷体" w:cs="楷体"/>
          <w:color w:val="auto"/>
          <w:sz w:val="32"/>
          <w:szCs w:val="32"/>
        </w:rPr>
        <w:t>（一）提高认识，做好宣传发动工作</w:t>
      </w:r>
    </w:p>
    <w:p>
      <w:pPr>
        <w:pStyle w:val="8"/>
        <w:spacing w:before="0" w:beforeAutospacing="0" w:after="0" w:afterAutospacing="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国旗下的讲话”爱国主义教育活动的开展有利于增强大学生理想信念、锤炼大学生品格、锻炼大学生体质，有利于进一步提升高校思政教育质量，对于培养德智体美劳全面发展的社会主义建设者和接班人具有重要意义。各学院要高度重视本项活动，做好学生的思想引导和宣传发动工作，确保每一名学生积极参加，有所收获。</w:t>
      </w:r>
    </w:p>
    <w:p>
      <w:pPr>
        <w:pStyle w:val="8"/>
        <w:spacing w:before="0" w:beforeAutospacing="0" w:after="0" w:afterAutospacing="0" w:line="360" w:lineRule="auto"/>
        <w:ind w:firstLine="570"/>
        <w:rPr>
          <w:rFonts w:hint="eastAsia" w:ascii="楷体" w:hAnsi="楷体" w:eastAsia="楷体" w:cs="楷体"/>
          <w:color w:val="auto"/>
          <w:sz w:val="32"/>
          <w:szCs w:val="32"/>
        </w:rPr>
      </w:pPr>
      <w:r>
        <w:rPr>
          <w:rFonts w:hint="eastAsia" w:ascii="楷体" w:hAnsi="楷体" w:eastAsia="楷体" w:cs="楷体"/>
          <w:color w:val="auto"/>
          <w:sz w:val="32"/>
          <w:szCs w:val="32"/>
        </w:rPr>
        <w:t>（二）精心组织，做好教育管理工作</w:t>
      </w:r>
    </w:p>
    <w:p>
      <w:pPr>
        <w:pStyle w:val="8"/>
        <w:spacing w:before="0" w:beforeAutospacing="0" w:after="0" w:afterAutospacing="0" w:line="360" w:lineRule="auto"/>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学院要把本次活动作为学生思想政治教育、组织管理工作的有效抓手，要在厚植爱国主义情怀上下功夫，要在加强品德修养上下功夫，要在培养奋斗精神上下功夫，积极做好学生的组织教育管理工作，确保学生按时、有序、高效集中，并对本院学生进行考勤，将考勤结果记入学生学年终综合考评成绩中，作为评优评奖评先及入党的的参考和依据，对于无故不参加活动的学生要及时进行批评教育。</w:t>
      </w:r>
    </w:p>
    <w:p>
      <w:pPr>
        <w:pStyle w:val="8"/>
        <w:spacing w:before="0" w:beforeAutospacing="0" w:after="0" w:afterAutospacing="0" w:line="360" w:lineRule="auto"/>
        <w:ind w:firstLine="570"/>
        <w:rPr>
          <w:rFonts w:hint="eastAsia" w:ascii="楷体" w:hAnsi="楷体" w:eastAsia="楷体" w:cs="楷体"/>
          <w:color w:val="auto"/>
          <w:sz w:val="32"/>
          <w:szCs w:val="32"/>
        </w:rPr>
      </w:pPr>
      <w:r>
        <w:rPr>
          <w:rFonts w:hint="eastAsia" w:ascii="楷体" w:hAnsi="楷体" w:eastAsia="楷体" w:cs="楷体"/>
          <w:color w:val="auto"/>
          <w:sz w:val="32"/>
          <w:szCs w:val="32"/>
        </w:rPr>
        <w:t>（三）注重过程，做好优良学风建设</w:t>
      </w:r>
    </w:p>
    <w:p>
      <w:pPr>
        <w:pStyle w:val="8"/>
        <w:spacing w:before="0" w:beforeAutospacing="0" w:after="0" w:afterAutospacing="0" w:line="360" w:lineRule="auto"/>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学院要注重活动过程和育人效果，避免流于形式。要把活动与创建文明校园结合起来，着力培养学生的文明素养意识；要把活动与体育教育结合起来，着力增强学生的身体素质；要把活动与本科教学工作审核评估结合起来，着力塑造学生的学习习惯；要把活动与贯彻落实全国教育大会精神结合起来，做好优良学风建设。</w:t>
      </w:r>
    </w:p>
    <w:p>
      <w:pPr>
        <w:pStyle w:val="8"/>
        <w:spacing w:before="0" w:beforeAutospacing="0" w:after="0" w:afterAutospacing="0" w:line="360" w:lineRule="auto"/>
        <w:ind w:firstLine="570"/>
        <w:rPr>
          <w:rFonts w:hint="eastAsia" w:ascii="仿宋_GB2312" w:hAnsi="仿宋_GB2312" w:eastAsia="仿宋_GB2312" w:cs="仿宋_GB2312"/>
          <w:color w:val="auto"/>
          <w:sz w:val="32"/>
          <w:szCs w:val="32"/>
        </w:rPr>
      </w:pPr>
    </w:p>
    <w:p>
      <w:pPr>
        <w:pStyle w:val="8"/>
        <w:ind w:firstLine="640" w:firstLineChars="200"/>
        <w:rPr>
          <w:rFonts w:hint="eastAsia" w:ascii="仿宋_GB2312" w:hAnsi="仿宋_GB2312" w:eastAsia="仿宋_GB2312" w:cs="仿宋_GB2312"/>
          <w:color w:val="auto"/>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lang w:val="en-US" w:eastAsia="zh-CN"/>
        </w:rPr>
        <w:t xml:space="preserve">中共海南师范大学委员会学生工作部  </w:t>
      </w:r>
    </w:p>
    <w:p>
      <w:pPr>
        <w:spacing w:line="600" w:lineRule="exact"/>
        <w:ind w:firstLine="4800" w:firstLineChars="15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海南师范大学学生处</w:t>
      </w:r>
    </w:p>
    <w:p>
      <w:pPr>
        <w:pStyle w:val="2"/>
        <w:spacing w:line="600" w:lineRule="exact"/>
        <w:ind w:firstLine="0"/>
        <w:jc w:val="left"/>
        <w:rPr>
          <w:rFonts w:hint="eastAsia" w:ascii="仿宋_GB2312" w:hAnsi="仿宋_GB2312" w:eastAsia="仿宋_GB2312" w:cs="仿宋_GB2312"/>
          <w:color w:val="auto"/>
          <w:spacing w:val="24"/>
          <w:sz w:val="32"/>
          <w:szCs w:val="32"/>
        </w:rPr>
      </w:pPr>
      <w:r>
        <w:rPr>
          <w:rFonts w:hint="eastAsia" w:ascii="仿宋_GB2312" w:hAnsi="仿宋_GB2312" w:eastAsia="仿宋_GB2312" w:cs="仿宋_GB2312"/>
          <w:color w:val="auto"/>
          <w:spacing w:val="24"/>
          <w:sz w:val="32"/>
          <w:szCs w:val="32"/>
        </w:rPr>
        <w:t xml:space="preserve">                   </w:t>
      </w:r>
      <w:r>
        <w:rPr>
          <w:rFonts w:hint="eastAsia" w:ascii="仿宋_GB2312" w:hAnsi="仿宋_GB2312" w:eastAsia="仿宋_GB2312" w:cs="仿宋_GB2312"/>
          <w:b w:val="0"/>
          <w:bCs w:val="0"/>
          <w:color w:val="auto"/>
          <w:spacing w:val="24"/>
          <w:sz w:val="32"/>
          <w:szCs w:val="32"/>
        </w:rPr>
        <w:t xml:space="preserve">   </w:t>
      </w:r>
      <w:r>
        <w:rPr>
          <w:rFonts w:hint="eastAsia" w:ascii="仿宋_GB2312" w:hAnsi="仿宋_GB2312" w:eastAsia="仿宋_GB2312" w:cs="仿宋_GB2312"/>
          <w:b w:val="0"/>
          <w:bCs w:val="0"/>
          <w:color w:val="auto"/>
          <w:spacing w:val="24"/>
          <w:sz w:val="32"/>
          <w:szCs w:val="32"/>
          <w:lang w:val="en-US" w:eastAsia="zh-CN"/>
        </w:rPr>
        <w:t xml:space="preserve">  </w:t>
      </w:r>
      <w:r>
        <w:rPr>
          <w:rFonts w:hint="eastAsia" w:ascii="仿宋_GB2312" w:hAnsi="仿宋_GB2312" w:eastAsia="仿宋_GB2312" w:cs="仿宋_GB2312"/>
          <w:b w:val="0"/>
          <w:bCs w:val="0"/>
          <w:color w:val="auto"/>
          <w:spacing w:val="24"/>
          <w:sz w:val="32"/>
          <w:szCs w:val="32"/>
        </w:rPr>
        <w:t>20</w:t>
      </w:r>
      <w:r>
        <w:rPr>
          <w:rFonts w:hint="eastAsia" w:ascii="仿宋_GB2312" w:hAnsi="仿宋_GB2312" w:eastAsia="仿宋_GB2312" w:cs="仿宋_GB2312"/>
          <w:b w:val="0"/>
          <w:bCs w:val="0"/>
          <w:color w:val="auto"/>
          <w:spacing w:val="24"/>
          <w:sz w:val="32"/>
          <w:szCs w:val="32"/>
          <w:lang w:val="en-US" w:eastAsia="zh-CN"/>
        </w:rPr>
        <w:t>21</w:t>
      </w:r>
      <w:r>
        <w:rPr>
          <w:rFonts w:hint="eastAsia" w:ascii="仿宋_GB2312" w:hAnsi="仿宋_GB2312" w:eastAsia="仿宋_GB2312" w:cs="仿宋_GB2312"/>
          <w:b w:val="0"/>
          <w:bCs w:val="0"/>
          <w:color w:val="auto"/>
          <w:spacing w:val="24"/>
          <w:sz w:val="32"/>
          <w:szCs w:val="32"/>
        </w:rPr>
        <w:t>年</w:t>
      </w:r>
      <w:r>
        <w:rPr>
          <w:rFonts w:hint="eastAsia" w:ascii="仿宋_GB2312" w:hAnsi="仿宋_GB2312" w:eastAsia="仿宋_GB2312" w:cs="仿宋_GB2312"/>
          <w:b w:val="0"/>
          <w:bCs w:val="0"/>
          <w:color w:val="auto"/>
          <w:spacing w:val="24"/>
          <w:sz w:val="32"/>
          <w:szCs w:val="32"/>
          <w:lang w:val="en-US" w:eastAsia="zh-CN"/>
        </w:rPr>
        <w:t>9</w:t>
      </w:r>
      <w:r>
        <w:rPr>
          <w:rFonts w:hint="eastAsia" w:ascii="仿宋_GB2312" w:hAnsi="仿宋_GB2312" w:eastAsia="仿宋_GB2312" w:cs="仿宋_GB2312"/>
          <w:b w:val="0"/>
          <w:bCs w:val="0"/>
          <w:color w:val="auto"/>
          <w:spacing w:val="24"/>
          <w:sz w:val="32"/>
          <w:szCs w:val="32"/>
        </w:rPr>
        <w:t>月</w:t>
      </w:r>
      <w:r>
        <w:rPr>
          <w:rFonts w:hint="eastAsia" w:ascii="仿宋_GB2312" w:hAnsi="仿宋_GB2312" w:eastAsia="仿宋_GB2312" w:cs="仿宋_GB2312"/>
          <w:b w:val="0"/>
          <w:bCs w:val="0"/>
          <w:color w:val="auto"/>
          <w:spacing w:val="24"/>
          <w:sz w:val="32"/>
          <w:szCs w:val="32"/>
          <w:lang w:val="en-US" w:eastAsia="zh-CN"/>
        </w:rPr>
        <w:t>22</w:t>
      </w:r>
      <w:r>
        <w:rPr>
          <w:rFonts w:hint="eastAsia" w:ascii="仿宋_GB2312" w:hAnsi="仿宋_GB2312" w:eastAsia="仿宋_GB2312" w:cs="仿宋_GB2312"/>
          <w:b w:val="0"/>
          <w:bCs w:val="0"/>
          <w:color w:val="auto"/>
          <w:spacing w:val="24"/>
          <w:sz w:val="32"/>
          <w:szCs w:val="32"/>
        </w:rPr>
        <w:t>日</w:t>
      </w:r>
    </w:p>
    <w:p>
      <w:pPr>
        <w:spacing w:line="520" w:lineRule="exact"/>
        <w:ind w:firstLine="640" w:firstLineChars="200"/>
        <w:rPr>
          <w:rStyle w:val="15"/>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rPr>
        <w:t xml:space="preserve"> </w:t>
      </w:r>
    </w:p>
    <w:p>
      <w:pPr>
        <w:spacing w:line="560" w:lineRule="exact"/>
        <w:rPr>
          <w:rFonts w:hint="eastAsia" w:ascii="仿宋_GB2312" w:hAnsi="仿宋_GB2312" w:eastAsia="仿宋_GB2312" w:cs="仿宋_GB2312"/>
          <w:color w:val="auto"/>
          <w:kern w:val="0"/>
          <w:sz w:val="32"/>
          <w:szCs w:val="32"/>
          <w:u w:val="single"/>
        </w:rPr>
      </w:pPr>
    </w:p>
    <w:p>
      <w:pPr>
        <w:spacing w:line="560" w:lineRule="exact"/>
        <w:rPr>
          <w:rFonts w:hint="eastAsia" w:ascii="仿宋_GB2312" w:hAnsi="仿宋_GB2312" w:eastAsia="仿宋_GB2312" w:cs="仿宋_GB2312"/>
          <w:color w:val="auto"/>
          <w:kern w:val="0"/>
          <w:sz w:val="32"/>
          <w:szCs w:val="32"/>
          <w:u w:val="single"/>
        </w:rPr>
      </w:pPr>
    </w:p>
    <w:p>
      <w:pPr>
        <w:spacing w:line="560" w:lineRule="exact"/>
        <w:rPr>
          <w:rFonts w:hint="eastAsia" w:ascii="仿宋_GB2312" w:hAnsi="仿宋_GB2312" w:eastAsia="仿宋_GB2312" w:cs="仿宋_GB2312"/>
          <w:color w:val="auto"/>
          <w:kern w:val="0"/>
          <w:sz w:val="32"/>
          <w:szCs w:val="32"/>
          <w:u w:val="single"/>
        </w:rPr>
      </w:pPr>
    </w:p>
    <w:p>
      <w:pPr>
        <w:spacing w:line="560" w:lineRule="exact"/>
        <w:rPr>
          <w:rFonts w:hint="eastAsia" w:ascii="仿宋_GB2312" w:hAnsi="仿宋_GB2312" w:eastAsia="仿宋_GB2312" w:cs="仿宋_GB2312"/>
          <w:color w:val="auto"/>
          <w:kern w:val="0"/>
          <w:sz w:val="32"/>
          <w:szCs w:val="32"/>
          <w:u w:val="single"/>
        </w:rPr>
      </w:pPr>
    </w:p>
    <w:p>
      <w:pPr>
        <w:spacing w:line="560" w:lineRule="exact"/>
        <w:rPr>
          <w:rFonts w:hint="eastAsia" w:ascii="仿宋_GB2312" w:hAnsi="仿宋_GB2312" w:eastAsia="仿宋_GB2312" w:cs="仿宋_GB2312"/>
          <w:color w:val="auto"/>
          <w:kern w:val="0"/>
          <w:sz w:val="32"/>
          <w:szCs w:val="32"/>
          <w:u w:val="single"/>
        </w:rPr>
      </w:pPr>
    </w:p>
    <w:p>
      <w:pPr>
        <w:spacing w:line="560" w:lineRule="exact"/>
        <w:rPr>
          <w:rFonts w:hint="eastAsia" w:ascii="仿宋_GB2312" w:hAnsi="仿宋_GB2312" w:eastAsia="仿宋_GB2312" w:cs="仿宋_GB2312"/>
          <w:color w:val="auto"/>
          <w:kern w:val="0"/>
          <w:sz w:val="32"/>
          <w:szCs w:val="32"/>
          <w:u w:val="single"/>
        </w:rPr>
      </w:pPr>
    </w:p>
    <w:p>
      <w:pPr>
        <w:spacing w:line="560" w:lineRule="exact"/>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u w:val="single"/>
        </w:rPr>
        <w:t>抄  送：学校领导 党政办</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single"/>
        </w:rPr>
        <w:t>组织部</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single"/>
        </w:rPr>
        <w:t>宣传部</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single"/>
        </w:rPr>
        <w:t>团委</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single"/>
        </w:rPr>
        <w:t xml:space="preserve">教务处                                     </w:t>
      </w:r>
    </w:p>
    <w:p>
      <w:pPr>
        <w:spacing w:line="560" w:lineRule="exact"/>
        <w:ind w:left="7200" w:hanging="5580" w:hangingChars="22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pacing w:val="-20"/>
          <w:w w:val="90"/>
          <w:kern w:val="0"/>
          <w:sz w:val="32"/>
          <w:szCs w:val="32"/>
          <w:u w:val="single"/>
          <w:lang w:val="en-US" w:eastAsia="zh-CN"/>
        </w:rPr>
        <w:t>中共海南师范大学委员会学生工作部</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single"/>
        </w:rPr>
        <w:t>20</w:t>
      </w:r>
      <w:r>
        <w:rPr>
          <w:rFonts w:hint="eastAsia" w:ascii="仿宋_GB2312" w:hAnsi="仿宋_GB2312" w:eastAsia="仿宋_GB2312" w:cs="仿宋_GB2312"/>
          <w:color w:val="auto"/>
          <w:kern w:val="0"/>
          <w:sz w:val="32"/>
          <w:szCs w:val="32"/>
          <w:u w:val="single"/>
          <w:lang w:val="en-US" w:eastAsia="zh-CN"/>
        </w:rPr>
        <w:t>21</w:t>
      </w:r>
      <w:r>
        <w:rPr>
          <w:rFonts w:hint="eastAsia" w:ascii="仿宋_GB2312" w:hAnsi="仿宋_GB2312" w:eastAsia="仿宋_GB2312" w:cs="仿宋_GB2312"/>
          <w:color w:val="auto"/>
          <w:kern w:val="0"/>
          <w:sz w:val="32"/>
          <w:szCs w:val="32"/>
          <w:u w:val="single"/>
        </w:rPr>
        <w:t>年</w:t>
      </w:r>
      <w:r>
        <w:rPr>
          <w:rFonts w:hint="eastAsia" w:ascii="仿宋_GB2312" w:hAnsi="仿宋_GB2312" w:eastAsia="仿宋_GB2312" w:cs="仿宋_GB2312"/>
          <w:color w:val="auto"/>
          <w:kern w:val="0"/>
          <w:sz w:val="32"/>
          <w:szCs w:val="32"/>
          <w:u w:val="single"/>
          <w:lang w:val="en-US" w:eastAsia="zh-CN"/>
        </w:rPr>
        <w:t>9</w:t>
      </w:r>
      <w:r>
        <w:rPr>
          <w:rFonts w:hint="eastAsia" w:ascii="仿宋_GB2312" w:hAnsi="仿宋_GB2312" w:eastAsia="仿宋_GB2312" w:cs="仿宋_GB2312"/>
          <w:color w:val="auto"/>
          <w:kern w:val="0"/>
          <w:sz w:val="32"/>
          <w:szCs w:val="32"/>
          <w:u w:val="single"/>
        </w:rPr>
        <w:t>月</w:t>
      </w:r>
      <w:r>
        <w:rPr>
          <w:rFonts w:hint="eastAsia" w:ascii="仿宋_GB2312" w:hAnsi="仿宋_GB2312" w:eastAsia="仿宋_GB2312" w:cs="仿宋_GB2312"/>
          <w:color w:val="auto"/>
          <w:kern w:val="0"/>
          <w:sz w:val="32"/>
          <w:szCs w:val="32"/>
          <w:u w:val="single"/>
          <w:lang w:val="en-US" w:eastAsia="zh-CN"/>
        </w:rPr>
        <w:t>22</w:t>
      </w:r>
      <w:r>
        <w:rPr>
          <w:rFonts w:hint="eastAsia" w:ascii="仿宋_GB2312" w:hAnsi="仿宋_GB2312" w:eastAsia="仿宋_GB2312" w:cs="仿宋_GB2312"/>
          <w:color w:val="auto"/>
          <w:kern w:val="0"/>
          <w:sz w:val="32"/>
          <w:szCs w:val="32"/>
          <w:u w:val="single"/>
        </w:rPr>
        <w:t xml:space="preserve">日印   </w:t>
      </w:r>
      <w:r>
        <w:rPr>
          <w:rFonts w:hint="eastAsia" w:ascii="仿宋_GB2312" w:hAnsi="仿宋_GB2312" w:eastAsia="仿宋_GB2312" w:cs="仿宋_GB2312"/>
          <w:color w:val="auto"/>
          <w:kern w:val="0"/>
          <w:sz w:val="32"/>
          <w:szCs w:val="32"/>
        </w:rPr>
        <w:t xml:space="preserve"> </w:t>
      </w:r>
    </w:p>
    <w:p>
      <w:pPr>
        <w:spacing w:line="560" w:lineRule="exact"/>
        <w:ind w:firstLine="6080" w:firstLineChars="19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kern w:val="0"/>
          <w:sz w:val="32"/>
          <w:szCs w:val="32"/>
        </w:rPr>
        <w:t>（共印40份）</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3</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95A8B"/>
    <w:rsid w:val="069203FA"/>
    <w:rsid w:val="16F401C0"/>
    <w:rsid w:val="2D0B7178"/>
    <w:rsid w:val="2EE029AD"/>
    <w:rsid w:val="3F4F6AF3"/>
    <w:rsid w:val="5652202A"/>
    <w:rsid w:val="57527B24"/>
    <w:rsid w:val="58D33F85"/>
    <w:rsid w:val="5A2A350F"/>
    <w:rsid w:val="6A080D98"/>
    <w:rsid w:val="6BC533A2"/>
    <w:rsid w:val="6BCD76FA"/>
    <w:rsid w:val="6E9433C8"/>
    <w:rsid w:val="76AA0D1D"/>
    <w:rsid w:val="7940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宋体" w:eastAsia="黑体" w:cs="宋体"/>
      <w:sz w:val="24"/>
      <w:szCs w:val="18"/>
      <w:lang w:val="en-US" w:eastAsia="zh-CN" w:bidi="ar-SA"/>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Body Text Indent"/>
    <w:basedOn w:val="1"/>
    <w:qFormat/>
    <w:uiPriority w:val="0"/>
    <w:pPr>
      <w:widowControl w:val="0"/>
      <w:spacing w:after="0"/>
      <w:ind w:firstLine="560"/>
      <w:jc w:val="both"/>
    </w:pPr>
    <w:rPr>
      <w:rFonts w:ascii="Times New Roman" w:hAnsi="Times New Roman" w:eastAsia="宋体" w:cs="宋体"/>
      <w:b/>
      <w:bCs/>
      <w:kern w:val="2"/>
      <w:sz w:val="28"/>
      <w:szCs w:val="28"/>
      <w:lang w:val="en-US" w:eastAsia="zh-CN" w:bidi="ar-SA"/>
    </w:rPr>
  </w:style>
  <w:style w:type="paragraph" w:styleId="3">
    <w:name w:val="Date"/>
    <w:basedOn w:val="1"/>
    <w:next w:val="1"/>
    <w:link w:val="14"/>
    <w:qFormat/>
    <w:uiPriority w:val="0"/>
    <w:pPr>
      <w:ind w:left="100" w:leftChars="2500"/>
    </w:pPr>
  </w:style>
  <w:style w:type="paragraph" w:styleId="4">
    <w:name w:val="Balloon Text"/>
    <w:basedOn w:val="1"/>
    <w:qFormat/>
    <w:uiPriority w:val="0"/>
    <w:rPr>
      <w:sz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 w:val="21"/>
      <w:szCs w:val="21"/>
    </w:rPr>
  </w:style>
  <w:style w:type="paragraph" w:styleId="8">
    <w:name w:val="Normal (Web)"/>
    <w:basedOn w:val="1"/>
    <w:qFormat/>
    <w:uiPriority w:val="0"/>
    <w:pPr>
      <w:widowControl/>
      <w:spacing w:before="100" w:beforeAutospacing="1" w:after="100" w:afterAutospacing="1"/>
      <w:jc w:val="left"/>
    </w:pPr>
    <w:rPr>
      <w:rFonts w:ascii="Verdana" w:hAnsi="Verdana" w:eastAsia="宋体"/>
      <w:color w:val="0E4A79"/>
      <w:sz w:val="21"/>
      <w:szCs w:val="21"/>
    </w:r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11578D"/>
      <w:u w:val="none"/>
    </w:rPr>
  </w:style>
  <w:style w:type="character" w:customStyle="1" w:styleId="14">
    <w:name w:val="日期 Char"/>
    <w:basedOn w:val="10"/>
    <w:link w:val="3"/>
    <w:qFormat/>
    <w:uiPriority w:val="0"/>
    <w:rPr>
      <w:rFonts w:ascii="黑体" w:hAnsi="宋体" w:eastAsia="黑体" w:cs="宋体"/>
      <w:sz w:val="24"/>
      <w:szCs w:val="18"/>
    </w:rPr>
  </w:style>
  <w:style w:type="character" w:customStyle="1" w:styleId="15">
    <w:name w:val="15"/>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1581</Words>
  <Characters>1640</Characters>
  <Paragraphs>158</Paragraphs>
  <TotalTime>49</TotalTime>
  <ScaleCrop>false</ScaleCrop>
  <LinksUpToDate>false</LinksUpToDate>
  <CharactersWithSpaces>1787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2020-09-07T07:53:00Z</dcterms:created>
  <dc:creator>user</dc:creator>
  <cp:lastModifiedBy>心想事成（卫华）</cp:lastModifiedBy>
  <cp:lastPrinted>2018-09-12T02:25:00Z</cp:lastPrinted>
  <dcterms:modified xsi:type="dcterms:W3CDTF">2021-09-22T02:41:04Z</dcterms:modified>
  <dc:title>升旗仪式流程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e00f702f74ae48038e5faff4fd929bcd</vt:lpwstr>
  </property>
</Properties>
</file>