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b/>
          <w:i w:val="0"/>
          <w:caps w:val="0"/>
          <w:color w:val="404040"/>
          <w:spacing w:val="0"/>
          <w:sz w:val="54"/>
          <w:szCs w:val="5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404040"/>
          <w:spacing w:val="0"/>
          <w:kern w:val="0"/>
          <w:sz w:val="54"/>
          <w:szCs w:val="54"/>
          <w:bdr w:val="none" w:color="auto" w:sz="0" w:space="0"/>
          <w:lang w:val="en-US" w:eastAsia="zh-CN" w:bidi="ar"/>
        </w:rPr>
        <w:t>“消费扶贫”让消费更高尚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2019-11-12 09:05:19 来源： </w:t>
      </w:r>
      <w:r>
        <w:rPr>
          <w:rStyle w:val="5"/>
          <w:rFonts w:hint="default" w:ascii="Helvetica" w:hAnsi="Helvetica" w:eastAsia="Helvetica" w:cs="Helvetica"/>
          <w:b/>
          <w:i w:val="0"/>
          <w:caps w:val="0"/>
          <w:color w:val="40404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广州日报</w:t>
      </w:r>
    </w:p>
    <w:p/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 w:firstLineChars="200"/>
        <w:rPr>
          <w:rFonts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日前，国家发改委联合国务院扶贫办、中央和国家机关工委、教育部、财政部等部委发出了《动员全社会力量共同参与消费扶贫的倡议》（简称《倡议》）提出，要将消费扶贫纳入定点扶贫和结对帮扶工作内容，在同等条件下持续扩大对贫困地区产品和服务消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脱贫攻坚战进入最后阶段，如何扩大和巩固脱贫成果，是当前扶贫工作中一个迫切需要解决的难题。顶层设计消费扶贫，向社会发出总动员，让社会力量参与扶贫，将创造多重价值，对打赢脱贫攻坚战具有促进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于消费者而言，赠人玫瑰，手有余香，扶贫消费是一种高尚消费。于贫困户而言，消费扶贫帮助农特产品和服务顺利卖出去，销售有了渠道，增收有了门路，发展就有了劲头。于扶贫事业而言，消费扶贫属于“造血式”、可持续的扶贫方式，比“一捐了之”“一送了之”的“输血式”、粗放型扶贫要可靠得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富而思源、富而思进，自消费扶贫兴起以来，各大城市积极响应，纷纷参与进来，搭建销售平台，打通消费关节，让贫困地区农特产品和服务在城中“卖卖卖”。据统计，今年上半年，广州市场仅销售毕节、黔南绿色农特产品就超过5.6亿元，3年来共销售27亿元，共带动11万名建档立卡贫困户增收。消费扶贫让大城市与贫困山区之间有了“直通车”，爱心便在买卖中传递、增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消费扶贫要走好，保障少不了。在生产端，一是做好农特产品生产工作，以便生产出更多有地方特色、受城市消费者欢迎的产品；二是重视物流基础设施建设，打通农村电商“最后一公里”；三是精心做好农特产品组织、上架、销售、配送和售后服务工作，提升用户体验；四是强化农特产品的质量和安全保障，严厉打击借消费扶贫之名以假乱真、以次充好、扰乱市场等行为。只有让消费者买得放心、吃得开心，消费扶贫才能走得更稳、行得更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在消费端，要让消费扶贫成为一种可持续的市场行为，关键要在城市消费群体和贫困户之间建立起常态化、规模化、便利化、规范化的交易平台和机制。在这方面，完全交给市场恐怕办不好，需要城市相关部门谋划、组织、协调与实施。如天河区，探索在天平水果市场设立扶贫基地，专区销售对口扶贫（支援）地区的农产品，推动“延安苹果”等产品市场化，就是一个主动作为的范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消费扶贫是一条由生产、流通到销售、消费组成的长链条，各方必须精诚合作，朝着同一个目标进发。（连海平）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540"/>
        <w:rPr>
          <w:rFonts w:hint="default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  <w:lang w:val="en-US" w:eastAsia="zh-CN"/>
        </w:rPr>
        <w:t xml:space="preserve">             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81565"/>
    <w:rsid w:val="1B023FAD"/>
    <w:rsid w:val="1C502DB2"/>
    <w:rsid w:val="34CF1FD8"/>
    <w:rsid w:val="412B734F"/>
    <w:rsid w:val="49B7709E"/>
    <w:rsid w:val="60524DB7"/>
    <w:rsid w:val="6D870142"/>
    <w:rsid w:val="732B3278"/>
    <w:rsid w:val="7F2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2019-11-13T02:56:48Z</dcterms:created>
  <dc:creator>Administrator</dc:creator>
  <cp:lastModifiedBy>朱卫华</cp:lastModifiedBy>
  <dcterms:modified xsi:type="dcterms:W3CDTF">2019-11-13T02:58:46Z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